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962328">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962328">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962328" w:rsidRPr="00A70556" w14:paraId="53069817" w14:textId="77777777" w:rsidTr="00962328">
        <w:trPr>
          <w:gridAfter w:val="2"/>
          <w:wAfter w:w="108" w:type="dxa"/>
          <w:trHeight w:val="340"/>
        </w:trPr>
        <w:tc>
          <w:tcPr>
            <w:tcW w:w="4712" w:type="dxa"/>
            <w:gridSpan w:val="2"/>
            <w:shd w:val="clear" w:color="auto" w:fill="F2F2F2" w:themeFill="background1" w:themeFillShade="F2"/>
            <w:vAlign w:val="center"/>
          </w:tcPr>
          <w:p w14:paraId="3767E713" w14:textId="77777777" w:rsidR="00962328" w:rsidRPr="00A70556" w:rsidRDefault="00962328" w:rsidP="00F60963">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28189B32" w14:textId="77777777" w:rsidR="00962328" w:rsidRPr="00A70556" w:rsidRDefault="00962328" w:rsidP="00F60963">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962328" w14:paraId="4947EE45" w14:textId="77777777" w:rsidTr="00962328">
        <w:trPr>
          <w:gridAfter w:val="2"/>
          <w:wAfter w:w="108" w:type="dxa"/>
          <w:trHeight w:val="340"/>
        </w:trPr>
        <w:tc>
          <w:tcPr>
            <w:tcW w:w="4712" w:type="dxa"/>
            <w:gridSpan w:val="2"/>
            <w:shd w:val="clear" w:color="auto" w:fill="auto"/>
            <w:vAlign w:val="center"/>
          </w:tcPr>
          <w:p w14:paraId="3F059CC5" w14:textId="76BCAA03" w:rsidR="00962328" w:rsidRPr="00962328" w:rsidRDefault="00962328" w:rsidP="00962328">
            <w:pPr>
              <w:spacing w:after="0" w:line="276" w:lineRule="auto"/>
              <w:jc w:val="center"/>
              <w:rPr>
                <w:b/>
                <w:bCs/>
              </w:rPr>
            </w:pPr>
            <w:r w:rsidRPr="00962328">
              <w:t>12</w:t>
            </w:r>
            <w:r w:rsidRPr="00962328">
              <w:t>/</w:t>
            </w:r>
            <w:r w:rsidRPr="00962328">
              <w:t>08</w:t>
            </w:r>
            <w:r w:rsidRPr="00962328">
              <w:t>/2022</w:t>
            </w:r>
          </w:p>
        </w:tc>
        <w:tc>
          <w:tcPr>
            <w:tcW w:w="5098" w:type="dxa"/>
            <w:shd w:val="clear" w:color="auto" w:fill="auto"/>
            <w:vAlign w:val="center"/>
          </w:tcPr>
          <w:p w14:paraId="555C196B" w14:textId="613370FE" w:rsidR="00962328" w:rsidRPr="00A70556" w:rsidRDefault="00962328" w:rsidP="00962328">
            <w:pPr>
              <w:spacing w:after="0" w:line="276" w:lineRule="auto"/>
              <w:jc w:val="center"/>
              <w:rPr>
                <w:b/>
                <w:bCs/>
              </w:rPr>
            </w:pPr>
            <w:r w:rsidRPr="00962328">
              <w:t>30</w:t>
            </w:r>
            <w:r w:rsidRPr="00962328">
              <w:t>/</w:t>
            </w:r>
            <w:r w:rsidRPr="00962328">
              <w:t>11</w:t>
            </w:r>
            <w:r w:rsidRPr="00962328">
              <w:t>/2022</w:t>
            </w:r>
          </w:p>
        </w:tc>
      </w:tr>
      <w:tr w:rsidR="00A70556" w14:paraId="6B7EC127" w14:textId="77777777" w:rsidTr="00962328">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w:t>
            </w:r>
            <w:bookmarkStart w:id="0" w:name="_GoBack"/>
            <w:bookmarkEnd w:id="0"/>
            <w:r w:rsidRPr="00581B4A">
              <w:rPr>
                <w:b/>
                <w:bCs/>
              </w:rPr>
              <w:t xml:space="preserve"> pertenece:</w:t>
            </w:r>
          </w:p>
        </w:tc>
      </w:tr>
      <w:tr w:rsidR="00A70556" w:rsidRPr="00BF73C9" w14:paraId="37454C6A" w14:textId="77777777" w:rsidTr="00962328">
        <w:trPr>
          <w:trHeight w:val="340"/>
        </w:trPr>
        <w:tc>
          <w:tcPr>
            <w:tcW w:w="9918" w:type="dxa"/>
            <w:gridSpan w:val="5"/>
            <w:shd w:val="clear" w:color="auto" w:fill="auto"/>
            <w:vAlign w:val="center"/>
          </w:tcPr>
          <w:p w14:paraId="78C4F704" w14:textId="195CBD6E" w:rsidR="00A70556" w:rsidRPr="00BF73C9" w:rsidRDefault="00BF73C9" w:rsidP="00521401">
            <w:pPr>
              <w:pStyle w:val="Prrafodelista"/>
              <w:spacing w:after="0" w:line="276" w:lineRule="auto"/>
              <w:ind w:left="37"/>
              <w:jc w:val="both"/>
              <w:rPr>
                <w:bCs/>
              </w:rPr>
            </w:pPr>
            <w:r w:rsidRPr="00BF73C9">
              <w:rPr>
                <w:bCs/>
              </w:rPr>
              <w:t>Lic. Guadalupe Gámez Rodríguez, Enlace institucional de la COEPRISS</w:t>
            </w:r>
          </w:p>
        </w:tc>
      </w:tr>
      <w:tr w:rsidR="00A70556" w14:paraId="79DD6CAD" w14:textId="77777777" w:rsidTr="00962328">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66FEA47"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BF73C9">
        <w:rPr>
          <w:b/>
        </w:rPr>
        <w:t>Regulación y Prevención de Riesgos Sanitarios para la Salud</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2BD0AA6" w14:textId="7CCFDF22" w:rsidR="00BF73C9" w:rsidRDefault="00BF73C9" w:rsidP="00BF043E">
      <w:pPr>
        <w:spacing w:line="276" w:lineRule="auto"/>
        <w:ind w:left="284"/>
        <w:jc w:val="both"/>
      </w:pPr>
      <w:r>
        <w:t xml:space="preserve">El problema público que el programa desea atender es la ampliación de la vigilancia sanitaria a los establecimientos de bienes y servicios de consumos humanos, asimismo, el objetivo general del programa es fortalecer la regulación y vigilancia de los bienes y servicios para la reducción de los riesgos sanitarios. </w:t>
      </w:r>
    </w:p>
    <w:p w14:paraId="392E9018" w14:textId="77777777" w:rsidR="00E32DD5" w:rsidRDefault="00E32DD5" w:rsidP="00E32DD5">
      <w:pPr>
        <w:ind w:left="284"/>
      </w:pPr>
      <w:r>
        <w:t>Lo anterior, a través del resguardo y prevención de la población Sinaloense contra riesgos potenciales a la salud, que puedan causarse por el uso y consumo de alimentos, bebidas, medicamentos, equipos médicos, productos de perfumería, belleza y aseo, nutrientes vegetales, plaguicidas y otros productos y sustancias toxicas; así como prevenir y controlar los efectos nocivos de los factores ambientales en la salud, la salud ocupacional y saneamiento básico, la regulación de los servicios de salud, publicidad y de otros que sean competencia de la COEPRISS.</w:t>
      </w:r>
    </w:p>
    <w:p w14:paraId="2EE1AF82" w14:textId="77777777" w:rsidR="00E32DD5" w:rsidRDefault="00E32DD5" w:rsidP="00E32DD5">
      <w:pPr>
        <w:ind w:left="284"/>
      </w:pPr>
      <w:r>
        <w:t xml:space="preserve">En el ejercicio 2021, se clasificaron y se aprobaron áreas para el cultivo y extracción de moluscos bivalvos, además se emitieron licencias sanitarias a empresas de servicios de control de plagas y se impartieron cursos para los establecimientos procesadores de alimentos. </w:t>
      </w:r>
    </w:p>
    <w:p w14:paraId="2316EA9E" w14:textId="77777777" w:rsidR="00E32DD5" w:rsidRDefault="00E32DD5" w:rsidP="00E32DD5">
      <w:pPr>
        <w:ind w:left="284"/>
      </w:pPr>
      <w:r>
        <w:t xml:space="preserve">Por otro lado, se realizaron acciones de vigilancia para los siguientes aspectos: </w:t>
      </w:r>
    </w:p>
    <w:p w14:paraId="41336173" w14:textId="77777777" w:rsidR="00E32DD5" w:rsidRDefault="00E32DD5" w:rsidP="00E32DD5">
      <w:pPr>
        <w:pStyle w:val="Prrafodelista"/>
        <w:numPr>
          <w:ilvl w:val="0"/>
          <w:numId w:val="24"/>
        </w:numPr>
        <w:spacing w:after="200" w:line="360" w:lineRule="auto"/>
        <w:jc w:val="both"/>
      </w:pPr>
      <w:r>
        <w:t>La eficiencia de cloración del agua.</w:t>
      </w:r>
    </w:p>
    <w:p w14:paraId="6B2E5F80" w14:textId="77777777" w:rsidR="00E32DD5" w:rsidRDefault="00E32DD5" w:rsidP="00E32DD5">
      <w:pPr>
        <w:pStyle w:val="Prrafodelista"/>
        <w:numPr>
          <w:ilvl w:val="0"/>
          <w:numId w:val="24"/>
        </w:numPr>
        <w:spacing w:after="200" w:line="360" w:lineRule="auto"/>
        <w:jc w:val="both"/>
      </w:pPr>
      <w:r>
        <w:t>Vigilancia sanitaria de alimentos.</w:t>
      </w:r>
    </w:p>
    <w:p w14:paraId="6D12B2D3" w14:textId="77777777" w:rsidR="00E32DD5" w:rsidRDefault="00E32DD5" w:rsidP="00E32DD5">
      <w:pPr>
        <w:pStyle w:val="Prrafodelista"/>
        <w:numPr>
          <w:ilvl w:val="0"/>
          <w:numId w:val="24"/>
        </w:numPr>
        <w:spacing w:after="200" w:line="360" w:lineRule="auto"/>
        <w:jc w:val="both"/>
      </w:pPr>
      <w:r>
        <w:t>Vigilancia sanitaria para la regulación de servicios e insumos para la Salud.</w:t>
      </w:r>
    </w:p>
    <w:p w14:paraId="01633647" w14:textId="77777777" w:rsidR="00E32DD5" w:rsidRDefault="00E32DD5" w:rsidP="00E32DD5">
      <w:pPr>
        <w:pStyle w:val="Prrafodelista"/>
        <w:numPr>
          <w:ilvl w:val="0"/>
          <w:numId w:val="24"/>
        </w:numPr>
        <w:spacing w:after="200" w:line="360" w:lineRule="auto"/>
        <w:jc w:val="both"/>
      </w:pPr>
      <w:r>
        <w:t>Control sanitario por COVID-19.</w:t>
      </w:r>
    </w:p>
    <w:p w14:paraId="572A8D3B" w14:textId="71BD15DC" w:rsidR="00BF73C9" w:rsidRDefault="00BF73C9" w:rsidP="00BF73C9">
      <w:pPr>
        <w:ind w:left="284"/>
      </w:pPr>
      <w:r>
        <w:t>El programa se encuentra alineado al PED Sinaloa 2017 – 2021, dentro del Eje estratégico II “</w:t>
      </w:r>
      <w:r w:rsidRPr="00F83D04">
        <w:rPr>
          <w:i/>
        </w:rPr>
        <w:t>Desarrollo humano y social</w:t>
      </w:r>
      <w:r>
        <w:t>”, tema 4 “</w:t>
      </w:r>
      <w:r w:rsidRPr="00F83D04">
        <w:rPr>
          <w:i/>
        </w:rPr>
        <w:t>Por un entorno y sociedad saludable</w:t>
      </w:r>
      <w:r>
        <w:t>”.</w:t>
      </w:r>
    </w:p>
    <w:p w14:paraId="46055EC4" w14:textId="77777777" w:rsidR="00BF73C9" w:rsidRDefault="00BF73C9" w:rsidP="00BF73C9">
      <w:pPr>
        <w:ind w:left="284"/>
      </w:pPr>
      <w:r>
        <w:t xml:space="preserve">De acuerdo con el PSS 2017 – 2021, el programa de Regulación y Prevención de Riesgos Sanitarios para la Salud tiene como propósito el proteger a la población </w:t>
      </w:r>
      <w:r w:rsidRPr="00DE2059">
        <w:t>contra riesgos a la salud provocados por el uso y consumo de bienes para consumo humano mediante la regulación, control y prevención de riesgos sanitarios</w:t>
      </w:r>
      <w:r>
        <w:t xml:space="preserve">. </w:t>
      </w:r>
    </w:p>
    <w:p w14:paraId="4A8A8460" w14:textId="7398F0BB" w:rsidR="00BF043E" w:rsidRDefault="00BF73C9" w:rsidP="00BF043E">
      <w:pPr>
        <w:ind w:left="284"/>
      </w:pPr>
      <w:r>
        <w:t>El programa</w:t>
      </w:r>
      <w:r w:rsidR="006174B7">
        <w:t xml:space="preserve"> </w:t>
      </w:r>
      <w:r w:rsidR="00BF043E" w:rsidRPr="006815E6">
        <w:t>se encuentra contemplad</w:t>
      </w:r>
      <w:r w:rsidR="006174B7">
        <w:t>o</w:t>
      </w:r>
      <w:r w:rsidR="00BF043E" w:rsidRPr="006815E6">
        <w:t xml:space="preserve"> dentro de los Objetivos del Desarrollo Sostenible y se identifica un vínculo importante que hay en las líneas de acción que atiende el programa con los objetivos y metas establecidos en los objetivos de Desarrollo Sostenible</w:t>
      </w:r>
      <w:r w:rsidR="00BF043E">
        <w:t>, como serían los siguientes:</w:t>
      </w:r>
    </w:p>
    <w:p w14:paraId="3F052C38" w14:textId="77777777" w:rsidR="00BF043E" w:rsidRDefault="00BF043E" w:rsidP="00BF043E">
      <w:pPr>
        <w:pStyle w:val="Prrafodelista"/>
        <w:numPr>
          <w:ilvl w:val="0"/>
          <w:numId w:val="19"/>
        </w:numPr>
        <w:spacing w:after="200" w:line="360" w:lineRule="auto"/>
        <w:jc w:val="both"/>
      </w:pPr>
      <w:r>
        <w:t>O</w:t>
      </w:r>
      <w:r w:rsidRPr="006815E6">
        <w:t xml:space="preserve">bjetivo </w:t>
      </w:r>
      <w:r>
        <w:t xml:space="preserve">3. “Salud y bienestar”. </w:t>
      </w:r>
    </w:p>
    <w:p w14:paraId="5AEFC087" w14:textId="77777777" w:rsidR="00BF73C9" w:rsidRPr="00BC2D73" w:rsidRDefault="00BF73C9" w:rsidP="00BF73C9">
      <w:pPr>
        <w:pStyle w:val="Prrafodelista"/>
        <w:numPr>
          <w:ilvl w:val="0"/>
          <w:numId w:val="19"/>
        </w:numPr>
        <w:spacing w:after="200" w:line="360" w:lineRule="auto"/>
        <w:jc w:val="both"/>
      </w:pPr>
      <w:r>
        <w:t>Objetivo específico 3.8. “</w:t>
      </w:r>
      <w:r w:rsidRPr="00303A6F">
        <w:t>Lograr la cobertura sanitaria universal, incluida la protección contra los riesgos financieros, el acceso a servicios básicos de salud de calidad y el acceso a medicamentos y vacunas inocuos, eficaces, asequibles y de calidad para todos</w:t>
      </w:r>
      <w:r>
        <w:t>”.</w:t>
      </w:r>
    </w:p>
    <w:p w14:paraId="32CE7491" w14:textId="77777777" w:rsidR="00E32DD5" w:rsidRDefault="00E32DD5" w:rsidP="00E32DD5">
      <w:pPr>
        <w:ind w:left="360"/>
      </w:pPr>
      <w:r>
        <w:t>De igual manera, en el Reglamento Interior de COEPRISS se establece lo siguiente: “</w:t>
      </w:r>
      <w:r w:rsidRPr="00E32DD5">
        <w:rPr>
          <w:i/>
        </w:rPr>
        <w:t xml:space="preserve">La Comisión Estatal para la Protección contra Riesgos Sanitarios de Sinaloa (COEPRISS), fue creada con el objeto resguardar y prevenir a la población de Sinaloa contra riesgos potenciales a la salud, que puedan causarse por el uso y </w:t>
      </w:r>
      <w:r w:rsidRPr="00E32DD5">
        <w:rPr>
          <w:i/>
        </w:rPr>
        <w:lastRenderedPageBreak/>
        <w:t>consumo de alimentos, bebidas, medicamentos, equipos médicos, productos de perfumería, belleza y aseo, nutrientes vegetales, plaguicidas y otros productos y sustancias tóxicas; así como para prevenir y controlar los efectos nocivos de los factores ambientales en la salud del hombre, la salud ocupacional y saneamiento básico, la regulación de los servicios de salud, publicidad y de otros que sean competencia de la COEPRISS</w:t>
      </w:r>
      <w:r>
        <w:t>”.</w:t>
      </w:r>
    </w:p>
    <w:p w14:paraId="13E256EF" w14:textId="77777777" w:rsidR="00E32DD5" w:rsidRDefault="00E32DD5" w:rsidP="00E32DD5">
      <w:pPr>
        <w:ind w:left="360"/>
      </w:pPr>
      <w:r w:rsidRPr="006815E6">
        <w:t xml:space="preserve">El programa </w:t>
      </w:r>
      <w:r>
        <w:t>Regulación y Prevención de Riesgos Sanitarios para la Salud</w:t>
      </w:r>
      <w:r w:rsidRPr="006815E6">
        <w:t xml:space="preserve"> contempla que su población potencial fue de </w:t>
      </w:r>
      <w:r>
        <w:t>21,134</w:t>
      </w:r>
      <w:r w:rsidRPr="006815E6">
        <w:t xml:space="preserve"> </w:t>
      </w:r>
      <w:r>
        <w:t xml:space="preserve">establecimientos </w:t>
      </w:r>
      <w:r w:rsidRPr="006815E6">
        <w:t xml:space="preserve">y la población objetivo de </w:t>
      </w:r>
      <w:r>
        <w:t>4,227 establecimientos, lo anterior, sujeto al cumplimiento de la normatividad sanitaria.</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81"/>
        <w:gridCol w:w="1124"/>
        <w:gridCol w:w="1134"/>
        <w:gridCol w:w="1134"/>
      </w:tblGrid>
      <w:tr w:rsidR="00E32DD5" w:rsidRPr="006815E6" w14:paraId="549D396F" w14:textId="77777777" w:rsidTr="00E32DD5">
        <w:trPr>
          <w:trHeight w:val="680"/>
          <w:tblHeader/>
          <w:jc w:val="center"/>
        </w:trPr>
        <w:tc>
          <w:tcPr>
            <w:tcW w:w="1281" w:type="dxa"/>
            <w:shd w:val="clear" w:color="auto" w:fill="651D32"/>
            <w:vAlign w:val="center"/>
          </w:tcPr>
          <w:p w14:paraId="7D58AA82" w14:textId="77777777" w:rsidR="00E32DD5" w:rsidRPr="006815E6" w:rsidRDefault="00E32DD5" w:rsidP="002C4887">
            <w:pPr>
              <w:spacing w:after="0" w:line="240" w:lineRule="auto"/>
              <w:jc w:val="center"/>
            </w:pPr>
            <w:r w:rsidRPr="006815E6">
              <w:rPr>
                <w:b/>
                <w:bCs/>
                <w:sz w:val="20"/>
              </w:rPr>
              <w:t>Tipo de población</w:t>
            </w:r>
          </w:p>
        </w:tc>
        <w:tc>
          <w:tcPr>
            <w:tcW w:w="1124" w:type="dxa"/>
            <w:shd w:val="clear" w:color="auto" w:fill="651D32"/>
            <w:vAlign w:val="center"/>
          </w:tcPr>
          <w:p w14:paraId="4D922D05" w14:textId="77777777" w:rsidR="00E32DD5" w:rsidRPr="006815E6" w:rsidRDefault="00E32DD5" w:rsidP="002C4887">
            <w:pPr>
              <w:spacing w:after="0" w:line="240" w:lineRule="auto"/>
              <w:jc w:val="center"/>
            </w:pPr>
            <w:r w:rsidRPr="006815E6">
              <w:rPr>
                <w:b/>
                <w:bCs/>
                <w:sz w:val="20"/>
              </w:rPr>
              <w:t>Unidad de medida</w:t>
            </w:r>
          </w:p>
        </w:tc>
        <w:tc>
          <w:tcPr>
            <w:tcW w:w="1134" w:type="dxa"/>
            <w:shd w:val="clear" w:color="auto" w:fill="651D32"/>
            <w:vAlign w:val="center"/>
          </w:tcPr>
          <w:p w14:paraId="59D6682F" w14:textId="77777777" w:rsidR="00E32DD5" w:rsidRPr="006815E6" w:rsidRDefault="00E32DD5" w:rsidP="002C4887">
            <w:pPr>
              <w:spacing w:after="0" w:line="240" w:lineRule="auto"/>
              <w:jc w:val="center"/>
            </w:pPr>
            <w:r w:rsidRPr="006815E6">
              <w:rPr>
                <w:b/>
                <w:bCs/>
                <w:sz w:val="20"/>
              </w:rPr>
              <w:t>2020</w:t>
            </w:r>
          </w:p>
        </w:tc>
        <w:tc>
          <w:tcPr>
            <w:tcW w:w="1134" w:type="dxa"/>
            <w:shd w:val="clear" w:color="auto" w:fill="651D32"/>
            <w:vAlign w:val="center"/>
          </w:tcPr>
          <w:p w14:paraId="1167C27F" w14:textId="77777777" w:rsidR="00E32DD5" w:rsidRPr="006815E6" w:rsidRDefault="00E32DD5" w:rsidP="002C4887">
            <w:pPr>
              <w:spacing w:after="0" w:line="240" w:lineRule="auto"/>
              <w:jc w:val="center"/>
            </w:pPr>
            <w:r w:rsidRPr="006815E6">
              <w:rPr>
                <w:b/>
                <w:bCs/>
                <w:sz w:val="20"/>
              </w:rPr>
              <w:t>2021</w:t>
            </w:r>
          </w:p>
        </w:tc>
      </w:tr>
      <w:tr w:rsidR="00E32DD5" w:rsidRPr="006815E6" w14:paraId="26701C75" w14:textId="77777777" w:rsidTr="00E32DD5">
        <w:trPr>
          <w:trHeight w:val="340"/>
          <w:jc w:val="center"/>
        </w:trPr>
        <w:tc>
          <w:tcPr>
            <w:tcW w:w="1281" w:type="dxa"/>
            <w:vAlign w:val="center"/>
          </w:tcPr>
          <w:p w14:paraId="2EB1331D" w14:textId="77777777" w:rsidR="00E32DD5" w:rsidRPr="006815E6" w:rsidRDefault="00E32DD5" w:rsidP="00E32DD5">
            <w:pPr>
              <w:spacing w:after="0" w:line="240" w:lineRule="auto"/>
              <w:jc w:val="center"/>
            </w:pPr>
            <w:r w:rsidRPr="006815E6">
              <w:rPr>
                <w:sz w:val="20"/>
              </w:rPr>
              <w:t>Potencial</w:t>
            </w:r>
          </w:p>
        </w:tc>
        <w:tc>
          <w:tcPr>
            <w:tcW w:w="1124" w:type="dxa"/>
            <w:vAlign w:val="center"/>
          </w:tcPr>
          <w:p w14:paraId="5F02A691" w14:textId="77777777" w:rsidR="00E32DD5" w:rsidRPr="006815E6" w:rsidRDefault="00E32DD5" w:rsidP="00E32DD5">
            <w:pPr>
              <w:spacing w:after="0" w:line="240" w:lineRule="auto"/>
              <w:jc w:val="center"/>
            </w:pPr>
            <w:r w:rsidRPr="006815E6">
              <w:rPr>
                <w:sz w:val="20"/>
              </w:rPr>
              <w:t>Número</w:t>
            </w:r>
          </w:p>
        </w:tc>
        <w:tc>
          <w:tcPr>
            <w:tcW w:w="1134" w:type="dxa"/>
            <w:vAlign w:val="center"/>
          </w:tcPr>
          <w:p w14:paraId="016A26B2" w14:textId="1F3C82D9" w:rsidR="00E32DD5" w:rsidRPr="006815E6" w:rsidRDefault="00E32DD5" w:rsidP="00E32DD5">
            <w:pPr>
              <w:spacing w:after="0" w:line="240" w:lineRule="auto"/>
              <w:jc w:val="center"/>
            </w:pPr>
            <w:r>
              <w:t>20,225</w:t>
            </w:r>
          </w:p>
        </w:tc>
        <w:tc>
          <w:tcPr>
            <w:tcW w:w="1134" w:type="dxa"/>
            <w:vAlign w:val="center"/>
          </w:tcPr>
          <w:p w14:paraId="605B3794" w14:textId="6540251B" w:rsidR="00E32DD5" w:rsidRPr="006815E6" w:rsidRDefault="00E32DD5" w:rsidP="00E32DD5">
            <w:pPr>
              <w:spacing w:after="0" w:line="240" w:lineRule="auto"/>
              <w:jc w:val="center"/>
            </w:pPr>
            <w:r>
              <w:t>21,134</w:t>
            </w:r>
          </w:p>
        </w:tc>
      </w:tr>
      <w:tr w:rsidR="00E32DD5" w:rsidRPr="006815E6" w14:paraId="717D2B5A" w14:textId="77777777" w:rsidTr="00E32DD5">
        <w:trPr>
          <w:trHeight w:val="340"/>
          <w:jc w:val="center"/>
        </w:trPr>
        <w:tc>
          <w:tcPr>
            <w:tcW w:w="1281" w:type="dxa"/>
            <w:vAlign w:val="center"/>
          </w:tcPr>
          <w:p w14:paraId="360084D4" w14:textId="77777777" w:rsidR="00E32DD5" w:rsidRPr="006815E6" w:rsidRDefault="00E32DD5" w:rsidP="00E32DD5">
            <w:pPr>
              <w:spacing w:after="0" w:line="240" w:lineRule="auto"/>
              <w:jc w:val="center"/>
            </w:pPr>
            <w:r w:rsidRPr="006815E6">
              <w:rPr>
                <w:sz w:val="20"/>
              </w:rPr>
              <w:t>Objetivo</w:t>
            </w:r>
          </w:p>
        </w:tc>
        <w:tc>
          <w:tcPr>
            <w:tcW w:w="1124" w:type="dxa"/>
            <w:vAlign w:val="center"/>
          </w:tcPr>
          <w:p w14:paraId="4CF48811" w14:textId="77777777" w:rsidR="00E32DD5" w:rsidRPr="006815E6" w:rsidRDefault="00E32DD5" w:rsidP="00E32DD5">
            <w:pPr>
              <w:spacing w:after="0" w:line="240" w:lineRule="auto"/>
              <w:jc w:val="center"/>
            </w:pPr>
            <w:r w:rsidRPr="006815E6">
              <w:rPr>
                <w:sz w:val="20"/>
              </w:rPr>
              <w:t>Número</w:t>
            </w:r>
          </w:p>
        </w:tc>
        <w:tc>
          <w:tcPr>
            <w:tcW w:w="1134" w:type="dxa"/>
            <w:vAlign w:val="center"/>
          </w:tcPr>
          <w:p w14:paraId="2310F992" w14:textId="6A33D61C" w:rsidR="00E32DD5" w:rsidRPr="006815E6" w:rsidRDefault="00E32DD5" w:rsidP="00E32DD5">
            <w:pPr>
              <w:spacing w:after="0" w:line="240" w:lineRule="auto"/>
              <w:jc w:val="center"/>
            </w:pPr>
            <w:r>
              <w:t>5,438</w:t>
            </w:r>
          </w:p>
        </w:tc>
        <w:tc>
          <w:tcPr>
            <w:tcW w:w="1134" w:type="dxa"/>
            <w:vAlign w:val="center"/>
          </w:tcPr>
          <w:p w14:paraId="5D4314AD" w14:textId="4C9D4565" w:rsidR="00E32DD5" w:rsidRPr="006815E6" w:rsidRDefault="00E32DD5" w:rsidP="00E32DD5">
            <w:pPr>
              <w:spacing w:after="0" w:line="240" w:lineRule="auto"/>
              <w:jc w:val="center"/>
            </w:pPr>
            <w:r>
              <w:t>4,227</w:t>
            </w:r>
          </w:p>
        </w:tc>
      </w:tr>
      <w:tr w:rsidR="00E32DD5" w:rsidRPr="006815E6" w14:paraId="3050B93E" w14:textId="77777777" w:rsidTr="00E32DD5">
        <w:trPr>
          <w:trHeight w:val="340"/>
          <w:jc w:val="center"/>
        </w:trPr>
        <w:tc>
          <w:tcPr>
            <w:tcW w:w="1281" w:type="dxa"/>
            <w:vAlign w:val="center"/>
          </w:tcPr>
          <w:p w14:paraId="69F51B39" w14:textId="77777777" w:rsidR="00E32DD5" w:rsidRPr="006815E6" w:rsidRDefault="00E32DD5" w:rsidP="00E32DD5">
            <w:pPr>
              <w:spacing w:after="0" w:line="240" w:lineRule="auto"/>
              <w:jc w:val="center"/>
            </w:pPr>
            <w:r w:rsidRPr="006815E6">
              <w:rPr>
                <w:sz w:val="20"/>
              </w:rPr>
              <w:t>Atendid</w:t>
            </w:r>
            <w:r>
              <w:rPr>
                <w:sz w:val="20"/>
              </w:rPr>
              <w:t>a</w:t>
            </w:r>
          </w:p>
        </w:tc>
        <w:tc>
          <w:tcPr>
            <w:tcW w:w="1124" w:type="dxa"/>
            <w:vAlign w:val="center"/>
          </w:tcPr>
          <w:p w14:paraId="7B223989" w14:textId="77777777" w:rsidR="00E32DD5" w:rsidRPr="006815E6" w:rsidRDefault="00E32DD5" w:rsidP="00E32DD5">
            <w:pPr>
              <w:spacing w:after="0" w:line="240" w:lineRule="auto"/>
              <w:jc w:val="center"/>
            </w:pPr>
            <w:r w:rsidRPr="006815E6">
              <w:rPr>
                <w:sz w:val="20"/>
              </w:rPr>
              <w:t>Número</w:t>
            </w:r>
          </w:p>
        </w:tc>
        <w:tc>
          <w:tcPr>
            <w:tcW w:w="1134" w:type="dxa"/>
            <w:vAlign w:val="center"/>
          </w:tcPr>
          <w:p w14:paraId="6B327932" w14:textId="5BB259F9" w:rsidR="00E32DD5" w:rsidRPr="006815E6" w:rsidRDefault="00E32DD5" w:rsidP="00E32DD5">
            <w:pPr>
              <w:spacing w:after="0" w:line="240" w:lineRule="auto"/>
              <w:jc w:val="center"/>
            </w:pPr>
            <w:r>
              <w:t>5,170</w:t>
            </w:r>
          </w:p>
        </w:tc>
        <w:tc>
          <w:tcPr>
            <w:tcW w:w="1134" w:type="dxa"/>
            <w:vAlign w:val="center"/>
          </w:tcPr>
          <w:p w14:paraId="0A606D60" w14:textId="7FFF9BA4" w:rsidR="00E32DD5" w:rsidRPr="006815E6" w:rsidRDefault="00E32DD5" w:rsidP="00E32DD5">
            <w:pPr>
              <w:spacing w:after="0" w:line="240" w:lineRule="auto"/>
              <w:jc w:val="center"/>
            </w:pPr>
            <w:r>
              <w:t>6,053</w:t>
            </w:r>
          </w:p>
        </w:tc>
      </w:tr>
      <w:tr w:rsidR="00E32DD5" w14:paraId="3AA25C93" w14:textId="77777777" w:rsidTr="00E32DD5">
        <w:trPr>
          <w:trHeight w:val="513"/>
          <w:jc w:val="center"/>
        </w:trPr>
        <w:tc>
          <w:tcPr>
            <w:tcW w:w="1281" w:type="dxa"/>
            <w:vAlign w:val="center"/>
          </w:tcPr>
          <w:p w14:paraId="23DF504C" w14:textId="77777777" w:rsidR="00E32DD5" w:rsidRPr="006815E6" w:rsidRDefault="00E32DD5" w:rsidP="00E32DD5">
            <w:pPr>
              <w:spacing w:after="0" w:line="240" w:lineRule="auto"/>
              <w:jc w:val="center"/>
            </w:pPr>
            <w:r w:rsidRPr="006815E6">
              <w:rPr>
                <w:noProof/>
                <w:sz w:val="20"/>
                <w:lang w:eastAsia="es-MX"/>
              </w:rPr>
              <w:drawing>
                <wp:anchor distT="0" distB="0" distL="114300" distR="114300" simplePos="0" relativeHeight="251665408" behindDoc="0" locked="0" layoutInCell="1" allowOverlap="1" wp14:anchorId="01C63F62" wp14:editId="29D9E761">
                  <wp:simplePos x="0" y="0"/>
                  <wp:positionH relativeFrom="column">
                    <wp:posOffset>88900</wp:posOffset>
                  </wp:positionH>
                  <wp:positionV relativeFrom="paragraph">
                    <wp:posOffset>-22225</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124" w:type="dxa"/>
            <w:vAlign w:val="center"/>
          </w:tcPr>
          <w:p w14:paraId="4918461B" w14:textId="77777777" w:rsidR="00E32DD5" w:rsidRPr="006815E6" w:rsidRDefault="00E32DD5" w:rsidP="00E32DD5">
            <w:pPr>
              <w:spacing w:after="0" w:line="240" w:lineRule="auto"/>
              <w:jc w:val="center"/>
            </w:pPr>
            <w:r w:rsidRPr="006815E6">
              <w:rPr>
                <w:sz w:val="20"/>
              </w:rPr>
              <w:t>Porcentaje</w:t>
            </w:r>
          </w:p>
        </w:tc>
        <w:tc>
          <w:tcPr>
            <w:tcW w:w="1134" w:type="dxa"/>
            <w:vAlign w:val="center"/>
          </w:tcPr>
          <w:p w14:paraId="7BEFB9E1" w14:textId="6480F2E3" w:rsidR="00E32DD5" w:rsidRPr="006815E6" w:rsidRDefault="00E32DD5" w:rsidP="00E32DD5">
            <w:pPr>
              <w:spacing w:after="0" w:line="240" w:lineRule="auto"/>
              <w:jc w:val="center"/>
            </w:pPr>
            <w:r>
              <w:rPr>
                <w:sz w:val="20"/>
              </w:rPr>
              <w:t>95.07</w:t>
            </w:r>
            <w:r w:rsidRPr="006815E6">
              <w:rPr>
                <w:sz w:val="20"/>
              </w:rPr>
              <w:t>%</w:t>
            </w:r>
          </w:p>
        </w:tc>
        <w:tc>
          <w:tcPr>
            <w:tcW w:w="1134" w:type="dxa"/>
            <w:vAlign w:val="center"/>
          </w:tcPr>
          <w:p w14:paraId="36BAE2FA" w14:textId="1B233CB1" w:rsidR="00E32DD5" w:rsidRDefault="00E32DD5" w:rsidP="00E32DD5">
            <w:pPr>
              <w:spacing w:after="0" w:line="240" w:lineRule="auto"/>
              <w:jc w:val="center"/>
            </w:pPr>
            <w:r>
              <w:rPr>
                <w:sz w:val="20"/>
              </w:rPr>
              <w:t>143.20</w:t>
            </w:r>
            <w:r w:rsidRPr="006815E6">
              <w:rPr>
                <w:sz w:val="20"/>
              </w:rPr>
              <w:t>%</w:t>
            </w:r>
          </w:p>
        </w:tc>
      </w:tr>
    </w:tbl>
    <w:p w14:paraId="503B1C89" w14:textId="77777777" w:rsidR="00E32DD5" w:rsidRDefault="00E32DD5" w:rsidP="00E32DD5">
      <w:pPr>
        <w:spacing w:after="0" w:line="240" w:lineRule="auto"/>
        <w:ind w:left="360"/>
      </w:pPr>
    </w:p>
    <w:p w14:paraId="6132ECEE" w14:textId="076531FB" w:rsidR="00E32DD5" w:rsidRDefault="00E32DD5" w:rsidP="00E32DD5">
      <w:pPr>
        <w:ind w:left="360"/>
      </w:pPr>
      <w:r>
        <w:t>Se realizan reportes correspondientes al portal de Gobierno del Estado de Sinaloa (</w:t>
      </w:r>
      <w:hyperlink r:id="rId13" w:history="1">
        <w:r w:rsidRPr="00A64E3F">
          <w:rPr>
            <w:rStyle w:val="Hipervnculo"/>
          </w:rPr>
          <w:t>https://transparencia.sinaloa.gob.mx/p/datos-abiertos</w:t>
        </w:r>
      </w:hyperlink>
      <w:r>
        <w:t>) de manera semestral por cada ejercicio fiscal.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0DB64C27" w14:textId="56B262EB" w:rsidR="006174B7" w:rsidRDefault="006174B7" w:rsidP="00975299">
      <w:pPr>
        <w:pStyle w:val="Prrafodelista"/>
        <w:numPr>
          <w:ilvl w:val="2"/>
          <w:numId w:val="5"/>
        </w:numPr>
        <w:spacing w:after="0" w:line="276" w:lineRule="auto"/>
        <w:ind w:left="993" w:hanging="567"/>
        <w:jc w:val="both"/>
        <w:rPr>
          <w:b/>
          <w:bCs/>
        </w:rPr>
      </w:pPr>
      <w:r>
        <w:rPr>
          <w:b/>
          <w:bCs/>
        </w:rPr>
        <w:t>Fortalezas</w:t>
      </w:r>
    </w:p>
    <w:p w14:paraId="12F5BBBC" w14:textId="77777777" w:rsidR="00604609" w:rsidRDefault="00604609" w:rsidP="00604609">
      <w:pPr>
        <w:pStyle w:val="Prrafodelista"/>
        <w:numPr>
          <w:ilvl w:val="0"/>
          <w:numId w:val="8"/>
        </w:numPr>
        <w:spacing w:after="0" w:line="276" w:lineRule="auto"/>
        <w:jc w:val="both"/>
      </w:pPr>
      <w:r>
        <w:t>El programa está vinculado a los objetivos y estrategias del PED Sinaloa 2017 – 2021.</w:t>
      </w:r>
    </w:p>
    <w:p w14:paraId="782FD97C" w14:textId="00257364" w:rsidR="00604609" w:rsidRDefault="00604609" w:rsidP="00604609">
      <w:pPr>
        <w:pStyle w:val="Prrafodelista"/>
        <w:numPr>
          <w:ilvl w:val="0"/>
          <w:numId w:val="8"/>
        </w:numPr>
        <w:spacing w:after="0" w:line="276" w:lineRule="auto"/>
        <w:jc w:val="both"/>
      </w:pPr>
      <w:r>
        <w:t>El programa está vinculado al PSS 2017 – 2021 derivado del PED Sinaloa 2017 – 2021.</w:t>
      </w:r>
    </w:p>
    <w:p w14:paraId="5EB7611B" w14:textId="77777777" w:rsidR="00604609" w:rsidRDefault="00604609" w:rsidP="00604609">
      <w:pPr>
        <w:pStyle w:val="Prrafodelista"/>
        <w:numPr>
          <w:ilvl w:val="0"/>
          <w:numId w:val="8"/>
        </w:numPr>
        <w:spacing w:after="0" w:line="276" w:lineRule="auto"/>
        <w:jc w:val="both"/>
      </w:pPr>
      <w:r>
        <w:t>El programa se encuentra vinculado con los Objetivos del Desarrollo Sostenible.</w:t>
      </w:r>
    </w:p>
    <w:p w14:paraId="3C153AC6" w14:textId="77777777" w:rsidR="00604609" w:rsidRDefault="00604609" w:rsidP="00604609">
      <w:pPr>
        <w:pStyle w:val="Prrafodelista"/>
        <w:numPr>
          <w:ilvl w:val="0"/>
          <w:numId w:val="8"/>
        </w:numPr>
        <w:spacing w:after="0" w:line="276" w:lineRule="auto"/>
        <w:jc w:val="both"/>
      </w:pPr>
      <w:r>
        <w:t>Se cuenta con el Decreto de Creación de la COEPRISS.</w:t>
      </w:r>
    </w:p>
    <w:p w14:paraId="157CA256" w14:textId="77777777" w:rsidR="00604609" w:rsidRDefault="00604609" w:rsidP="00604609">
      <w:pPr>
        <w:pStyle w:val="Prrafodelista"/>
        <w:numPr>
          <w:ilvl w:val="0"/>
          <w:numId w:val="8"/>
        </w:numPr>
        <w:spacing w:after="0" w:line="276" w:lineRule="auto"/>
        <w:jc w:val="both"/>
      </w:pPr>
      <w:r>
        <w:t>Se cuenta con el Reglamento Interior de la COEPRISS.</w:t>
      </w:r>
    </w:p>
    <w:p w14:paraId="696C8000" w14:textId="77777777" w:rsidR="00604609" w:rsidRDefault="00604609" w:rsidP="00604609">
      <w:pPr>
        <w:pStyle w:val="Prrafodelista"/>
        <w:numPr>
          <w:ilvl w:val="0"/>
          <w:numId w:val="8"/>
        </w:numPr>
        <w:spacing w:after="0" w:line="276" w:lineRule="auto"/>
        <w:jc w:val="both"/>
      </w:pPr>
      <w:r>
        <w:t>Se cuentan con manuales y procedimientos para operar el programa.</w:t>
      </w:r>
    </w:p>
    <w:p w14:paraId="02777A23" w14:textId="77777777" w:rsidR="00604609" w:rsidRDefault="00604609" w:rsidP="00604609">
      <w:pPr>
        <w:pStyle w:val="Prrafodelista"/>
        <w:numPr>
          <w:ilvl w:val="0"/>
          <w:numId w:val="8"/>
        </w:numPr>
        <w:spacing w:after="0" w:line="276" w:lineRule="auto"/>
        <w:jc w:val="both"/>
      </w:pPr>
      <w:r>
        <w:t>Se cuenta con la MIR y sus fichas técnicas donde las metas de los indicadores están orientadas a impulsar el desempeño del programa.</w:t>
      </w:r>
    </w:p>
    <w:p w14:paraId="45D31890" w14:textId="77777777" w:rsidR="00604609" w:rsidRDefault="00604609" w:rsidP="00604609">
      <w:pPr>
        <w:pStyle w:val="Prrafodelista"/>
        <w:numPr>
          <w:ilvl w:val="0"/>
          <w:numId w:val="8"/>
        </w:numPr>
        <w:spacing w:after="0" w:line="276" w:lineRule="auto"/>
        <w:jc w:val="both"/>
      </w:pPr>
      <w:r>
        <w:t>Existen elementos metodológicos y de planeación que permiten diseñar, monitorear, dar seguimiento, evaluar y rendir cuentas del programa (Ley Estatal de Salud, Decreto de Creación de la COEPRISS, Reglamento Interior de la COEPRISS, Manuales y Procedimientos).</w:t>
      </w:r>
    </w:p>
    <w:p w14:paraId="4E621332" w14:textId="77777777" w:rsidR="00604609" w:rsidRDefault="00604609" w:rsidP="00604609">
      <w:pPr>
        <w:pStyle w:val="Prrafodelista"/>
        <w:numPr>
          <w:ilvl w:val="0"/>
          <w:numId w:val="8"/>
        </w:numPr>
        <w:spacing w:after="0" w:line="276" w:lineRule="auto"/>
        <w:jc w:val="both"/>
      </w:pPr>
      <w:r>
        <w:t>Se cuenta con un plan estratégico que contempla los resultados que se quieren alcanzar, y los indicadores para medir el avance en el logro de sus resultados.</w:t>
      </w:r>
    </w:p>
    <w:p w14:paraId="23873890" w14:textId="77777777" w:rsidR="00604609" w:rsidRDefault="00604609" w:rsidP="00604609">
      <w:pPr>
        <w:pStyle w:val="Prrafodelista"/>
        <w:numPr>
          <w:ilvl w:val="0"/>
          <w:numId w:val="8"/>
        </w:numPr>
        <w:spacing w:after="0" w:line="276" w:lineRule="auto"/>
        <w:jc w:val="both"/>
      </w:pPr>
      <w:r>
        <w:t>El programa se encuentra acorde con lineamientos de planeación estatal y federal (Ley Estatal de Salud del Estado de Sinaloa).</w:t>
      </w:r>
    </w:p>
    <w:p w14:paraId="1591A629" w14:textId="77777777" w:rsidR="00604609" w:rsidRDefault="00604609" w:rsidP="00604609">
      <w:pPr>
        <w:pStyle w:val="Prrafodelista"/>
        <w:numPr>
          <w:ilvl w:val="0"/>
          <w:numId w:val="8"/>
        </w:numPr>
        <w:spacing w:after="0" w:line="276" w:lineRule="auto"/>
        <w:jc w:val="both"/>
      </w:pPr>
      <w:r>
        <w:t>El programa difunde información relevante en el sitio web.</w:t>
      </w:r>
    </w:p>
    <w:p w14:paraId="0F3A4D2F" w14:textId="77777777" w:rsidR="00604609" w:rsidRDefault="00604609" w:rsidP="00604609">
      <w:pPr>
        <w:pStyle w:val="Prrafodelista"/>
        <w:numPr>
          <w:ilvl w:val="0"/>
          <w:numId w:val="8"/>
        </w:numPr>
        <w:spacing w:after="0" w:line="276" w:lineRule="auto"/>
        <w:jc w:val="both"/>
      </w:pPr>
      <w:r>
        <w:t>Existe información sobre la población objetivo del programa.</w:t>
      </w:r>
    </w:p>
    <w:p w14:paraId="4AAFCBC8" w14:textId="77777777" w:rsidR="00604609" w:rsidRDefault="00604609" w:rsidP="00604609">
      <w:pPr>
        <w:pStyle w:val="Prrafodelista"/>
        <w:numPr>
          <w:ilvl w:val="0"/>
          <w:numId w:val="8"/>
        </w:numPr>
        <w:spacing w:after="0" w:line="276" w:lineRule="auto"/>
        <w:jc w:val="both"/>
      </w:pPr>
      <w:r>
        <w:t>El programa alcanzó una cobertura del 143.20% en el ejercicio fiscal 2021.</w:t>
      </w:r>
    </w:p>
    <w:p w14:paraId="55298AFA" w14:textId="77777777" w:rsidR="00604609" w:rsidRDefault="00604609" w:rsidP="00604609">
      <w:pPr>
        <w:pStyle w:val="Prrafodelista"/>
        <w:numPr>
          <w:ilvl w:val="0"/>
          <w:numId w:val="8"/>
        </w:numPr>
        <w:spacing w:after="0" w:line="276" w:lineRule="auto"/>
        <w:jc w:val="both"/>
      </w:pPr>
      <w:r>
        <w:t>Se mantiene una cobertura regional.</w:t>
      </w:r>
    </w:p>
    <w:p w14:paraId="35C57210" w14:textId="77777777" w:rsidR="00604609" w:rsidRDefault="00604609" w:rsidP="00604609">
      <w:pPr>
        <w:pStyle w:val="Prrafodelista"/>
        <w:numPr>
          <w:ilvl w:val="0"/>
          <w:numId w:val="8"/>
        </w:numPr>
        <w:spacing w:after="0" w:line="276" w:lineRule="auto"/>
        <w:jc w:val="both"/>
      </w:pPr>
      <w:r>
        <w:lastRenderedPageBreak/>
        <w:t>Se brindan capacitaciones presenciales y virtuales constantes al personal verificador.</w:t>
      </w:r>
    </w:p>
    <w:p w14:paraId="72B59019" w14:textId="77777777" w:rsidR="00604609" w:rsidRDefault="00604609" w:rsidP="00604609">
      <w:pPr>
        <w:pStyle w:val="Prrafodelista"/>
        <w:numPr>
          <w:ilvl w:val="0"/>
          <w:numId w:val="8"/>
        </w:numPr>
        <w:spacing w:after="0" w:line="276" w:lineRule="auto"/>
        <w:jc w:val="both"/>
      </w:pPr>
      <w:r>
        <w:t>Se cuenta con el equipamiento adecuado.</w:t>
      </w:r>
    </w:p>
    <w:p w14:paraId="3A660971" w14:textId="77777777" w:rsidR="00604609" w:rsidRDefault="00604609" w:rsidP="00604609">
      <w:pPr>
        <w:pStyle w:val="Prrafodelista"/>
        <w:numPr>
          <w:ilvl w:val="0"/>
          <w:numId w:val="8"/>
        </w:numPr>
        <w:spacing w:after="0" w:line="276" w:lineRule="auto"/>
        <w:jc w:val="both"/>
      </w:pPr>
      <w:r>
        <w:t>Utilización y manejo del Sistema de Registro de Actividades Estatal.</w:t>
      </w:r>
    </w:p>
    <w:p w14:paraId="7784FF5A" w14:textId="77777777" w:rsidR="00604609" w:rsidRDefault="00604609" w:rsidP="00604609">
      <w:pPr>
        <w:pStyle w:val="Prrafodelista"/>
        <w:numPr>
          <w:ilvl w:val="0"/>
          <w:numId w:val="8"/>
        </w:numPr>
        <w:spacing w:after="0" w:line="276" w:lineRule="auto"/>
        <w:jc w:val="both"/>
      </w:pPr>
      <w:r>
        <w:t>En la página web de los SSS y Transparencia Sinaloa se puede localizar la información de resultados principales del programa.</w:t>
      </w:r>
    </w:p>
    <w:p w14:paraId="284D8A1A" w14:textId="77777777" w:rsidR="00604609" w:rsidRDefault="00604609" w:rsidP="00604609">
      <w:pPr>
        <w:pStyle w:val="Prrafodelista"/>
        <w:numPr>
          <w:ilvl w:val="0"/>
          <w:numId w:val="8"/>
        </w:numPr>
        <w:spacing w:after="0" w:line="276" w:lineRule="auto"/>
        <w:jc w:val="both"/>
      </w:pPr>
      <w:r>
        <w:t>Se utilizan elementos metodológicos que apoyan la información.</w:t>
      </w:r>
    </w:p>
    <w:p w14:paraId="41B7D9B8" w14:textId="77777777" w:rsidR="00604609" w:rsidRDefault="00604609" w:rsidP="00604609">
      <w:pPr>
        <w:pStyle w:val="Prrafodelista"/>
        <w:numPr>
          <w:ilvl w:val="0"/>
          <w:numId w:val="8"/>
        </w:numPr>
        <w:spacing w:after="0" w:line="276" w:lineRule="auto"/>
        <w:jc w:val="both"/>
      </w:pPr>
      <w:r>
        <w:t>El personal del programa es proactivo y multidisciplinario, además de tener conocimiento y capacitación de los riesgos sanitarios.</w:t>
      </w:r>
    </w:p>
    <w:p w14:paraId="45282C41" w14:textId="77777777" w:rsidR="00604609" w:rsidRDefault="00604609" w:rsidP="00604609">
      <w:pPr>
        <w:pStyle w:val="Prrafodelista"/>
        <w:numPr>
          <w:ilvl w:val="0"/>
          <w:numId w:val="8"/>
        </w:numPr>
        <w:spacing w:after="0" w:line="276" w:lineRule="auto"/>
        <w:jc w:val="both"/>
      </w:pPr>
      <w:r>
        <w:t>Se cuentan con líderes de proyecto y/o programas.</w:t>
      </w:r>
    </w:p>
    <w:p w14:paraId="31368D3C" w14:textId="77777777" w:rsidR="00604609" w:rsidRDefault="00604609" w:rsidP="00604609">
      <w:pPr>
        <w:pStyle w:val="Prrafodelista"/>
        <w:numPr>
          <w:ilvl w:val="0"/>
          <w:numId w:val="8"/>
        </w:numPr>
        <w:spacing w:after="0" w:line="276" w:lineRule="auto"/>
        <w:jc w:val="both"/>
      </w:pPr>
      <w:r>
        <w:t>Realización de campañas de difusión.</w:t>
      </w:r>
    </w:p>
    <w:p w14:paraId="4B42A207" w14:textId="77777777" w:rsidR="00604609" w:rsidRDefault="00604609" w:rsidP="00604609">
      <w:pPr>
        <w:pStyle w:val="Prrafodelista"/>
        <w:numPr>
          <w:ilvl w:val="0"/>
          <w:numId w:val="8"/>
        </w:numPr>
        <w:spacing w:after="0" w:line="276" w:lineRule="auto"/>
        <w:jc w:val="both"/>
      </w:pPr>
      <w:r>
        <w:t>Los indicadores de Fin y Propósito cumplen con resultados satisfactorios, mismos que se encuentran vertidos en la MIR.</w:t>
      </w:r>
    </w:p>
    <w:p w14:paraId="564EBC09" w14:textId="77777777" w:rsidR="00604609" w:rsidRDefault="00604609" w:rsidP="00604609">
      <w:pPr>
        <w:pStyle w:val="Prrafodelista"/>
        <w:numPr>
          <w:ilvl w:val="0"/>
          <w:numId w:val="8"/>
        </w:numPr>
        <w:spacing w:after="0" w:line="276" w:lineRule="auto"/>
        <w:jc w:val="both"/>
      </w:pPr>
      <w:r>
        <w:t>Alto conocimiento de las actividades respectivas para el cumplimiento de las metas.</w:t>
      </w:r>
    </w:p>
    <w:p w14:paraId="259088C7" w14:textId="77777777" w:rsidR="00604609" w:rsidRDefault="00604609" w:rsidP="00604609">
      <w:pPr>
        <w:pStyle w:val="Prrafodelista"/>
        <w:numPr>
          <w:ilvl w:val="0"/>
          <w:numId w:val="8"/>
        </w:numPr>
        <w:spacing w:after="0" w:line="276" w:lineRule="auto"/>
        <w:jc w:val="both"/>
      </w:pPr>
      <w:r>
        <w:t>Se brinda seguimiento a las observaciones.</w:t>
      </w:r>
    </w:p>
    <w:p w14:paraId="34DBF629" w14:textId="77777777" w:rsidR="00604609" w:rsidRDefault="00604609" w:rsidP="00604609">
      <w:pPr>
        <w:pStyle w:val="Prrafodelista"/>
        <w:numPr>
          <w:ilvl w:val="0"/>
          <w:numId w:val="8"/>
        </w:numPr>
        <w:spacing w:after="0" w:line="276" w:lineRule="auto"/>
        <w:jc w:val="both"/>
      </w:pPr>
      <w:r>
        <w:t>Los procesos se encuentran alineados a las metas del programa.</w:t>
      </w:r>
    </w:p>
    <w:p w14:paraId="757F61C0" w14:textId="77777777" w:rsidR="00604609" w:rsidRDefault="00604609" w:rsidP="00604609">
      <w:pPr>
        <w:pStyle w:val="Prrafodelista"/>
        <w:numPr>
          <w:ilvl w:val="0"/>
          <w:numId w:val="8"/>
        </w:numPr>
        <w:spacing w:after="0" w:line="276" w:lineRule="auto"/>
        <w:jc w:val="both"/>
      </w:pPr>
      <w:r>
        <w:t>Se realiza la medición de trabajo diario.</w:t>
      </w:r>
    </w:p>
    <w:p w14:paraId="32D6014E" w14:textId="77777777" w:rsidR="00604609" w:rsidRDefault="00604609" w:rsidP="00604609">
      <w:pPr>
        <w:pStyle w:val="Prrafodelista"/>
        <w:numPr>
          <w:ilvl w:val="0"/>
          <w:numId w:val="8"/>
        </w:numPr>
        <w:spacing w:after="0" w:line="276" w:lineRule="auto"/>
        <w:jc w:val="both"/>
      </w:pPr>
      <w:r>
        <w:t>Se orientan las acciones a eventos de riesgos.</w:t>
      </w:r>
    </w:p>
    <w:p w14:paraId="1489B088" w14:textId="0A0C149D" w:rsidR="006174B7" w:rsidRPr="006174B7" w:rsidRDefault="00604609" w:rsidP="00604609">
      <w:pPr>
        <w:pStyle w:val="Prrafodelista"/>
        <w:numPr>
          <w:ilvl w:val="0"/>
          <w:numId w:val="8"/>
        </w:numPr>
        <w:spacing w:after="0" w:line="276" w:lineRule="auto"/>
        <w:jc w:val="both"/>
      </w:pPr>
      <w:r>
        <w:t>Se brindan capacitaciones de nuevas herramientas de mejora.</w:t>
      </w:r>
    </w:p>
    <w:p w14:paraId="3A39C1FA" w14:textId="77A4F0C9"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2656FF11" w14:textId="77777777" w:rsidR="00604609" w:rsidRDefault="00604609" w:rsidP="00604609">
      <w:pPr>
        <w:pStyle w:val="Prrafodelista"/>
        <w:numPr>
          <w:ilvl w:val="0"/>
          <w:numId w:val="8"/>
        </w:numPr>
        <w:spacing w:after="0" w:line="276" w:lineRule="auto"/>
        <w:jc w:val="both"/>
      </w:pPr>
      <w:r>
        <w:t>El programa se encuentra acorde con lineamientos de planeación estatal y federal (Ley General de Salud).</w:t>
      </w:r>
    </w:p>
    <w:p w14:paraId="7283E7E5" w14:textId="77777777" w:rsidR="00604609" w:rsidRDefault="00604609" w:rsidP="00604609">
      <w:pPr>
        <w:pStyle w:val="Prrafodelista"/>
        <w:numPr>
          <w:ilvl w:val="0"/>
          <w:numId w:val="8"/>
        </w:numPr>
        <w:spacing w:after="0" w:line="276" w:lineRule="auto"/>
        <w:jc w:val="both"/>
      </w:pPr>
      <w:r>
        <w:t>El programa utiliza sistemas de captura de registros y seguimiento.</w:t>
      </w:r>
    </w:p>
    <w:p w14:paraId="2290C158" w14:textId="77777777" w:rsidR="00604609" w:rsidRDefault="00604609" w:rsidP="00604609">
      <w:pPr>
        <w:pStyle w:val="Prrafodelista"/>
        <w:numPr>
          <w:ilvl w:val="0"/>
          <w:numId w:val="8"/>
        </w:numPr>
        <w:spacing w:after="0" w:line="276" w:lineRule="auto"/>
        <w:jc w:val="both"/>
      </w:pPr>
      <w:r>
        <w:t>Intercambio de conocimientos con otras entidades.</w:t>
      </w:r>
    </w:p>
    <w:p w14:paraId="67614B05" w14:textId="4EE199A7" w:rsidR="006174B7" w:rsidRDefault="00604609" w:rsidP="00604609">
      <w:pPr>
        <w:pStyle w:val="Prrafodelista"/>
        <w:numPr>
          <w:ilvl w:val="0"/>
          <w:numId w:val="8"/>
        </w:numPr>
        <w:spacing w:after="0" w:line="276" w:lineRule="auto"/>
        <w:jc w:val="both"/>
      </w:pPr>
      <w:r>
        <w:t>Instalación y manejo del Sistema de Gestión de Calidad.</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704FA02" w14:textId="77777777" w:rsidR="00604609" w:rsidRDefault="00604609" w:rsidP="00604609">
      <w:pPr>
        <w:pStyle w:val="Prrafodelista"/>
        <w:numPr>
          <w:ilvl w:val="0"/>
          <w:numId w:val="8"/>
        </w:numPr>
        <w:spacing w:after="0" w:line="276" w:lineRule="auto"/>
        <w:jc w:val="both"/>
      </w:pPr>
      <w:r>
        <w:t>Constante actualización de manuales.</w:t>
      </w:r>
    </w:p>
    <w:p w14:paraId="36ABD3FF" w14:textId="77777777" w:rsidR="00604609" w:rsidRDefault="00604609" w:rsidP="00604609">
      <w:pPr>
        <w:pStyle w:val="Prrafodelista"/>
        <w:numPr>
          <w:ilvl w:val="0"/>
          <w:numId w:val="8"/>
        </w:numPr>
        <w:spacing w:after="0" w:line="276" w:lineRule="auto"/>
        <w:jc w:val="both"/>
      </w:pPr>
      <w:r>
        <w:t>Falta de claridad en las funciones de las unidades administrativas.</w:t>
      </w:r>
    </w:p>
    <w:p w14:paraId="78F0B6F3" w14:textId="77777777" w:rsidR="00604609" w:rsidRDefault="00604609" w:rsidP="00604609">
      <w:pPr>
        <w:pStyle w:val="Prrafodelista"/>
        <w:numPr>
          <w:ilvl w:val="0"/>
          <w:numId w:val="8"/>
        </w:numPr>
        <w:spacing w:after="0" w:line="276" w:lineRule="auto"/>
        <w:jc w:val="both"/>
      </w:pPr>
      <w:r>
        <w:t>Nula aplicación de sanciones administrativas.</w:t>
      </w:r>
    </w:p>
    <w:p w14:paraId="45A775E6" w14:textId="77777777" w:rsidR="00604609" w:rsidRDefault="00604609" w:rsidP="00604609">
      <w:pPr>
        <w:pStyle w:val="Prrafodelista"/>
        <w:numPr>
          <w:ilvl w:val="0"/>
          <w:numId w:val="8"/>
        </w:numPr>
        <w:spacing w:after="0" w:line="276" w:lineRule="auto"/>
        <w:jc w:val="both"/>
      </w:pPr>
      <w:r>
        <w:t>Deficiente medición de desempeño de las coordinaciones regionales.</w:t>
      </w:r>
    </w:p>
    <w:p w14:paraId="1CB2CF70" w14:textId="77777777" w:rsidR="00604609" w:rsidRDefault="00604609" w:rsidP="00604609">
      <w:pPr>
        <w:pStyle w:val="Prrafodelista"/>
        <w:numPr>
          <w:ilvl w:val="0"/>
          <w:numId w:val="8"/>
        </w:numPr>
        <w:spacing w:after="0" w:line="276" w:lineRule="auto"/>
        <w:jc w:val="both"/>
      </w:pPr>
      <w:r>
        <w:t>Falta de recursos humanos, materiales y financieros.</w:t>
      </w:r>
    </w:p>
    <w:p w14:paraId="12CCB59C" w14:textId="77777777" w:rsidR="00604609" w:rsidRDefault="00604609" w:rsidP="00604609">
      <w:pPr>
        <w:pStyle w:val="Prrafodelista"/>
        <w:numPr>
          <w:ilvl w:val="0"/>
          <w:numId w:val="8"/>
        </w:numPr>
        <w:spacing w:after="0" w:line="276" w:lineRule="auto"/>
        <w:jc w:val="both"/>
      </w:pPr>
      <w:r>
        <w:t>Deficiente comunicación con las coordinaciones.</w:t>
      </w:r>
    </w:p>
    <w:p w14:paraId="3C0C1519" w14:textId="5002E96F" w:rsidR="005D6B8F" w:rsidRDefault="00604609" w:rsidP="00604609">
      <w:pPr>
        <w:pStyle w:val="Prrafodelista"/>
        <w:numPr>
          <w:ilvl w:val="0"/>
          <w:numId w:val="8"/>
        </w:numPr>
        <w:spacing w:after="0" w:line="276" w:lineRule="auto"/>
        <w:jc w:val="both"/>
      </w:pPr>
      <w:r>
        <w:t>No se cuenta con un instrumento para medir el grado de satisfacción de la población atendida por el Programa.</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50A10460" w14:textId="77777777" w:rsidR="00604609" w:rsidRDefault="00604609" w:rsidP="00604609">
      <w:pPr>
        <w:pStyle w:val="Prrafodelista"/>
        <w:numPr>
          <w:ilvl w:val="0"/>
          <w:numId w:val="8"/>
        </w:numPr>
        <w:spacing w:after="0" w:line="276" w:lineRule="auto"/>
        <w:jc w:val="both"/>
      </w:pPr>
      <w:r>
        <w:t>Establecimientos sin registro para su verificación sanitaria.</w:t>
      </w:r>
    </w:p>
    <w:p w14:paraId="4C31A699" w14:textId="77777777" w:rsidR="00604609" w:rsidRDefault="00604609" w:rsidP="00604609">
      <w:pPr>
        <w:pStyle w:val="Prrafodelista"/>
        <w:numPr>
          <w:ilvl w:val="0"/>
          <w:numId w:val="8"/>
        </w:numPr>
        <w:spacing w:after="0" w:line="276" w:lineRule="auto"/>
        <w:jc w:val="both"/>
      </w:pPr>
      <w:r>
        <w:t>Demora de entrega de recursos financieros.</w:t>
      </w:r>
    </w:p>
    <w:p w14:paraId="27D11F9D" w14:textId="77777777" w:rsidR="00604609" w:rsidRDefault="00604609" w:rsidP="00604609">
      <w:pPr>
        <w:pStyle w:val="Prrafodelista"/>
        <w:numPr>
          <w:ilvl w:val="0"/>
          <w:numId w:val="8"/>
        </w:numPr>
        <w:spacing w:after="0" w:line="276" w:lineRule="auto"/>
        <w:jc w:val="both"/>
      </w:pPr>
      <w:r>
        <w:t>Población y localidades de difícil acceso.</w:t>
      </w:r>
    </w:p>
    <w:p w14:paraId="1CB69052" w14:textId="77777777" w:rsidR="00604609" w:rsidRDefault="00604609" w:rsidP="00604609">
      <w:pPr>
        <w:pStyle w:val="Prrafodelista"/>
        <w:numPr>
          <w:ilvl w:val="0"/>
          <w:numId w:val="8"/>
        </w:numPr>
        <w:spacing w:after="0" w:line="276" w:lineRule="auto"/>
        <w:jc w:val="both"/>
      </w:pPr>
      <w:r>
        <w:t>Personal vulnerable a contagios.</w:t>
      </w:r>
    </w:p>
    <w:p w14:paraId="6D6D7BAA" w14:textId="06627B23" w:rsidR="005D6B8F" w:rsidRDefault="00604609" w:rsidP="00604609">
      <w:pPr>
        <w:pStyle w:val="Prrafodelista"/>
        <w:numPr>
          <w:ilvl w:val="0"/>
          <w:numId w:val="8"/>
        </w:numPr>
        <w:spacing w:after="0" w:line="276" w:lineRule="auto"/>
        <w:jc w:val="both"/>
      </w:pPr>
      <w:r>
        <w:t>Incremento de costos.</w:t>
      </w:r>
    </w:p>
    <w:p w14:paraId="30BA35DA" w14:textId="39697654" w:rsidR="00AF2993" w:rsidRDefault="00AF2993" w:rsidP="00521401">
      <w:pPr>
        <w:spacing w:after="0" w:line="276" w:lineRule="auto"/>
        <w:ind w:hanging="284"/>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3DA3E663" w:rsidR="00AF2993" w:rsidRDefault="00AF2993" w:rsidP="006F4B1F">
            <w:pPr>
              <w:pStyle w:val="Prrafodelista"/>
              <w:numPr>
                <w:ilvl w:val="0"/>
                <w:numId w:val="4"/>
              </w:numPr>
              <w:spacing w:after="0" w:line="276" w:lineRule="auto"/>
            </w:pPr>
            <w:r w:rsidRPr="00AF2993">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30F09E91" w14:textId="6040EB70" w:rsidR="005D6B8F" w:rsidRDefault="00862B6C" w:rsidP="00A4624B">
      <w:pPr>
        <w:spacing w:after="0" w:line="276" w:lineRule="auto"/>
        <w:ind w:left="284"/>
        <w:jc w:val="both"/>
      </w:pPr>
      <w:r w:rsidRPr="00862B6C">
        <w:t>Con base en las preguntas que tienen una repuesta binaria y que presentan una calificación se obtuvieron los resultados anotados en el siguiente cuadro. Como se puede observar, la puntuación global es de 1.63 sobre una calificación máxima de 4 destacándose las notas de diseño y operación, sin embargo, es preciso señalar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p w14:paraId="3595208C" w14:textId="77777777" w:rsidR="00862B6C" w:rsidRDefault="00862B6C"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14:paraId="2FD94B32" w14:textId="77777777" w:rsidTr="005D6B8F">
        <w:trPr>
          <w:trHeight w:val="275"/>
          <w:jc w:val="center"/>
        </w:trPr>
        <w:tc>
          <w:tcPr>
            <w:tcW w:w="3681" w:type="dxa"/>
            <w:shd w:val="clear" w:color="auto" w:fill="651D32"/>
            <w:vAlign w:val="center"/>
          </w:tcPr>
          <w:p w14:paraId="4EE87CD3" w14:textId="77777777" w:rsidR="00A4624B" w:rsidRDefault="00A4624B" w:rsidP="002C4887">
            <w:pPr>
              <w:spacing w:after="0" w:line="240" w:lineRule="auto"/>
              <w:jc w:val="center"/>
            </w:pPr>
            <w:r>
              <w:t>Tema</w:t>
            </w:r>
          </w:p>
        </w:tc>
        <w:tc>
          <w:tcPr>
            <w:tcW w:w="1231" w:type="dxa"/>
            <w:shd w:val="clear" w:color="auto" w:fill="651D32"/>
            <w:vAlign w:val="center"/>
          </w:tcPr>
          <w:p w14:paraId="48098251" w14:textId="77777777" w:rsidR="00A4624B" w:rsidRDefault="00A4624B" w:rsidP="002C4887">
            <w:pPr>
              <w:spacing w:after="0" w:line="240" w:lineRule="auto"/>
              <w:jc w:val="center"/>
            </w:pPr>
            <w:r>
              <w:t>Calificación ponderada</w:t>
            </w:r>
          </w:p>
        </w:tc>
      </w:tr>
      <w:tr w:rsidR="00E32DD5" w14:paraId="22EFC5DE" w14:textId="77777777" w:rsidTr="005D6B8F">
        <w:trPr>
          <w:trHeight w:val="57"/>
          <w:jc w:val="center"/>
        </w:trPr>
        <w:tc>
          <w:tcPr>
            <w:tcW w:w="3681" w:type="dxa"/>
            <w:vAlign w:val="center"/>
          </w:tcPr>
          <w:p w14:paraId="3E269AFA" w14:textId="77777777" w:rsidR="00E32DD5" w:rsidRDefault="00E32DD5" w:rsidP="00E32DD5">
            <w:pPr>
              <w:spacing w:after="0" w:line="240" w:lineRule="auto"/>
            </w:pPr>
            <w:r>
              <w:t>Diseño</w:t>
            </w:r>
          </w:p>
        </w:tc>
        <w:tc>
          <w:tcPr>
            <w:tcW w:w="1231" w:type="dxa"/>
            <w:vAlign w:val="center"/>
          </w:tcPr>
          <w:p w14:paraId="6A142C2E" w14:textId="0D76C16A" w:rsidR="00E32DD5" w:rsidRDefault="00E32DD5" w:rsidP="00E32DD5">
            <w:pPr>
              <w:spacing w:after="0" w:line="240" w:lineRule="auto"/>
              <w:jc w:val="center"/>
            </w:pPr>
            <w:r>
              <w:t>2.22</w:t>
            </w:r>
          </w:p>
        </w:tc>
      </w:tr>
      <w:tr w:rsidR="00E32DD5" w14:paraId="1ED456F9" w14:textId="77777777" w:rsidTr="005D6B8F">
        <w:trPr>
          <w:trHeight w:val="57"/>
          <w:jc w:val="center"/>
        </w:trPr>
        <w:tc>
          <w:tcPr>
            <w:tcW w:w="3681" w:type="dxa"/>
            <w:vAlign w:val="center"/>
          </w:tcPr>
          <w:p w14:paraId="6386915D" w14:textId="77777777" w:rsidR="00E32DD5" w:rsidRDefault="00E32DD5" w:rsidP="00E32DD5">
            <w:pPr>
              <w:spacing w:after="0" w:line="240" w:lineRule="auto"/>
            </w:pPr>
            <w:r>
              <w:t>Planeación y orientación a resultados</w:t>
            </w:r>
          </w:p>
        </w:tc>
        <w:tc>
          <w:tcPr>
            <w:tcW w:w="1231" w:type="dxa"/>
            <w:vAlign w:val="center"/>
          </w:tcPr>
          <w:p w14:paraId="3C839412" w14:textId="72E2C2E5" w:rsidR="00E32DD5" w:rsidRDefault="00E32DD5" w:rsidP="00E32DD5">
            <w:pPr>
              <w:spacing w:after="0" w:line="240" w:lineRule="auto"/>
              <w:jc w:val="center"/>
            </w:pPr>
            <w:r>
              <w:t>1.67</w:t>
            </w:r>
          </w:p>
        </w:tc>
      </w:tr>
      <w:tr w:rsidR="00E32DD5" w14:paraId="3D4D2757" w14:textId="77777777" w:rsidTr="005D6B8F">
        <w:trPr>
          <w:trHeight w:val="57"/>
          <w:jc w:val="center"/>
        </w:trPr>
        <w:tc>
          <w:tcPr>
            <w:tcW w:w="3681" w:type="dxa"/>
            <w:vAlign w:val="center"/>
          </w:tcPr>
          <w:p w14:paraId="53195F87" w14:textId="77777777" w:rsidR="00E32DD5" w:rsidRDefault="00E32DD5" w:rsidP="00E32DD5">
            <w:pPr>
              <w:spacing w:after="0" w:line="240" w:lineRule="auto"/>
            </w:pPr>
            <w:r>
              <w:t>Cobertura y focalización</w:t>
            </w:r>
          </w:p>
        </w:tc>
        <w:tc>
          <w:tcPr>
            <w:tcW w:w="1231" w:type="dxa"/>
            <w:vAlign w:val="center"/>
          </w:tcPr>
          <w:p w14:paraId="0F72AC6A" w14:textId="598036ED" w:rsidR="00E32DD5" w:rsidRDefault="00E32DD5" w:rsidP="00E32DD5">
            <w:pPr>
              <w:spacing w:after="0" w:line="240" w:lineRule="auto"/>
              <w:jc w:val="center"/>
            </w:pPr>
            <w:r>
              <w:t>2</w:t>
            </w:r>
          </w:p>
        </w:tc>
      </w:tr>
      <w:tr w:rsidR="00E32DD5" w14:paraId="0D64BF50" w14:textId="77777777" w:rsidTr="005D6B8F">
        <w:trPr>
          <w:trHeight w:val="57"/>
          <w:jc w:val="center"/>
        </w:trPr>
        <w:tc>
          <w:tcPr>
            <w:tcW w:w="3681" w:type="dxa"/>
            <w:vAlign w:val="center"/>
          </w:tcPr>
          <w:p w14:paraId="53EAFD5C" w14:textId="77777777" w:rsidR="00E32DD5" w:rsidRDefault="00E32DD5" w:rsidP="00E32DD5">
            <w:pPr>
              <w:spacing w:after="0" w:line="240" w:lineRule="auto"/>
            </w:pPr>
            <w:r>
              <w:t>Operación</w:t>
            </w:r>
          </w:p>
        </w:tc>
        <w:tc>
          <w:tcPr>
            <w:tcW w:w="1231" w:type="dxa"/>
            <w:vAlign w:val="center"/>
          </w:tcPr>
          <w:p w14:paraId="79069A92" w14:textId="64240332" w:rsidR="00E32DD5" w:rsidRDefault="00E32DD5" w:rsidP="00E32DD5">
            <w:pPr>
              <w:spacing w:after="0" w:line="240" w:lineRule="auto"/>
              <w:jc w:val="center"/>
            </w:pPr>
            <w:r>
              <w:t>3.50</w:t>
            </w:r>
          </w:p>
        </w:tc>
      </w:tr>
      <w:tr w:rsidR="00E32DD5" w14:paraId="6342DFC4" w14:textId="77777777" w:rsidTr="005D6B8F">
        <w:trPr>
          <w:trHeight w:val="57"/>
          <w:jc w:val="center"/>
        </w:trPr>
        <w:tc>
          <w:tcPr>
            <w:tcW w:w="3681" w:type="dxa"/>
            <w:vAlign w:val="center"/>
          </w:tcPr>
          <w:p w14:paraId="6D0C25AB" w14:textId="77777777" w:rsidR="00E32DD5" w:rsidRDefault="00E32DD5" w:rsidP="00E32DD5">
            <w:pPr>
              <w:spacing w:after="0" w:line="240" w:lineRule="auto"/>
            </w:pPr>
            <w:r>
              <w:t>Percepción de la población atendida</w:t>
            </w:r>
          </w:p>
        </w:tc>
        <w:tc>
          <w:tcPr>
            <w:tcW w:w="1231" w:type="dxa"/>
            <w:vAlign w:val="center"/>
          </w:tcPr>
          <w:p w14:paraId="060E0783" w14:textId="6E50F93E" w:rsidR="00E32DD5" w:rsidRDefault="00E32DD5" w:rsidP="00E32DD5">
            <w:pPr>
              <w:spacing w:after="0" w:line="240" w:lineRule="auto"/>
              <w:jc w:val="center"/>
            </w:pPr>
            <w:r>
              <w:t>0</w:t>
            </w:r>
          </w:p>
        </w:tc>
      </w:tr>
      <w:tr w:rsidR="00E32DD5" w14:paraId="725AA31E" w14:textId="77777777" w:rsidTr="005D6B8F">
        <w:trPr>
          <w:trHeight w:val="57"/>
          <w:jc w:val="center"/>
        </w:trPr>
        <w:tc>
          <w:tcPr>
            <w:tcW w:w="3681" w:type="dxa"/>
            <w:vAlign w:val="center"/>
          </w:tcPr>
          <w:p w14:paraId="178F3E5E" w14:textId="77777777" w:rsidR="00E32DD5" w:rsidRDefault="00E32DD5" w:rsidP="00E32DD5">
            <w:pPr>
              <w:spacing w:after="0" w:line="240" w:lineRule="auto"/>
            </w:pPr>
            <w:r>
              <w:t>Resultados</w:t>
            </w:r>
          </w:p>
        </w:tc>
        <w:tc>
          <w:tcPr>
            <w:tcW w:w="1231" w:type="dxa"/>
            <w:vAlign w:val="center"/>
          </w:tcPr>
          <w:p w14:paraId="6D585FA8" w14:textId="6B86CCD5" w:rsidR="00E32DD5" w:rsidRDefault="00E32DD5" w:rsidP="00E32DD5">
            <w:pPr>
              <w:spacing w:after="0" w:line="240" w:lineRule="auto"/>
              <w:jc w:val="center"/>
            </w:pPr>
            <w:r>
              <w:t>0.4</w:t>
            </w:r>
          </w:p>
        </w:tc>
      </w:tr>
      <w:tr w:rsidR="00E32DD5" w14:paraId="3BED9929" w14:textId="77777777" w:rsidTr="005D6B8F">
        <w:trPr>
          <w:trHeight w:val="57"/>
          <w:jc w:val="center"/>
        </w:trPr>
        <w:tc>
          <w:tcPr>
            <w:tcW w:w="3681" w:type="dxa"/>
            <w:vAlign w:val="center"/>
          </w:tcPr>
          <w:p w14:paraId="1A30B61A" w14:textId="77777777" w:rsidR="00E32DD5" w:rsidRDefault="00E32DD5" w:rsidP="00E32DD5">
            <w:pPr>
              <w:spacing w:after="0" w:line="240" w:lineRule="auto"/>
              <w:jc w:val="right"/>
            </w:pPr>
            <w:r>
              <w:t>Valoración final</w:t>
            </w:r>
          </w:p>
        </w:tc>
        <w:tc>
          <w:tcPr>
            <w:tcW w:w="1231" w:type="dxa"/>
            <w:vAlign w:val="center"/>
          </w:tcPr>
          <w:p w14:paraId="59C6D531" w14:textId="48CBE7D7" w:rsidR="00E32DD5" w:rsidRDefault="00E32DD5" w:rsidP="00E32DD5">
            <w:pPr>
              <w:spacing w:after="0" w:line="240" w:lineRule="auto"/>
              <w:jc w:val="center"/>
            </w:pPr>
            <w:r>
              <w:t>1.63</w:t>
            </w:r>
          </w:p>
        </w:tc>
      </w:tr>
    </w:tbl>
    <w:p w14:paraId="39F36B56" w14:textId="021A5E3A" w:rsidR="00A4624B" w:rsidRDefault="00A4624B"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1809242A" w14:textId="77777777" w:rsidR="00E32DD5" w:rsidRDefault="00E32DD5" w:rsidP="00E32DD5">
      <w:pPr>
        <w:pStyle w:val="Prrafodelista"/>
        <w:numPr>
          <w:ilvl w:val="0"/>
          <w:numId w:val="2"/>
        </w:numPr>
        <w:spacing w:after="0" w:line="276" w:lineRule="auto"/>
        <w:jc w:val="both"/>
      </w:pPr>
      <w:r>
        <w:t xml:space="preserve">Replantear las funciones de las unidades administrativas de manera que la información sea clara y precisa para los interesados. </w:t>
      </w:r>
    </w:p>
    <w:p w14:paraId="31BD204C" w14:textId="77777777" w:rsidR="00E32DD5" w:rsidRDefault="00E32DD5" w:rsidP="00E32DD5">
      <w:pPr>
        <w:pStyle w:val="Prrafodelista"/>
        <w:numPr>
          <w:ilvl w:val="0"/>
          <w:numId w:val="2"/>
        </w:numPr>
        <w:spacing w:after="0" w:line="276" w:lineRule="auto"/>
        <w:jc w:val="both"/>
      </w:pPr>
      <w:r>
        <w:t>Aplicación cabal de sanciones administrativas</w:t>
      </w:r>
    </w:p>
    <w:p w14:paraId="3F8CD090" w14:textId="77777777" w:rsidR="00E32DD5" w:rsidRDefault="00E32DD5" w:rsidP="00E32DD5">
      <w:pPr>
        <w:pStyle w:val="Prrafodelista"/>
        <w:numPr>
          <w:ilvl w:val="0"/>
          <w:numId w:val="2"/>
        </w:numPr>
        <w:spacing w:after="0" w:line="276" w:lineRule="auto"/>
        <w:jc w:val="both"/>
      </w:pPr>
      <w:r>
        <w:t>Gestionar un instrumento para medir el desempeño de las coordinaciones regionales.</w:t>
      </w:r>
    </w:p>
    <w:p w14:paraId="1829ECB2" w14:textId="77777777" w:rsidR="00E32DD5" w:rsidRDefault="00E32DD5" w:rsidP="00E32DD5">
      <w:pPr>
        <w:pStyle w:val="Prrafodelista"/>
        <w:numPr>
          <w:ilvl w:val="0"/>
          <w:numId w:val="2"/>
        </w:numPr>
        <w:spacing w:after="0" w:line="276" w:lineRule="auto"/>
        <w:jc w:val="both"/>
      </w:pPr>
      <w:r>
        <w:t>Realizar un diagnóstico ante de la falta de recursos humanos, materiales y financieros que se presentan, con el propósito de gestionar una solicitud de dichos recursos.</w:t>
      </w:r>
    </w:p>
    <w:p w14:paraId="1B6A2DFA" w14:textId="77777777" w:rsidR="00E32DD5" w:rsidRDefault="00E32DD5" w:rsidP="00E32DD5">
      <w:pPr>
        <w:pStyle w:val="Prrafodelista"/>
        <w:numPr>
          <w:ilvl w:val="0"/>
          <w:numId w:val="2"/>
        </w:numPr>
        <w:spacing w:after="0" w:line="276" w:lineRule="auto"/>
        <w:jc w:val="both"/>
      </w:pPr>
      <w:r>
        <w:t>Establecer un mecanismo de comunicación con las coordinaciones.</w:t>
      </w:r>
    </w:p>
    <w:p w14:paraId="4714EBCF" w14:textId="77777777" w:rsidR="00E32DD5" w:rsidRDefault="00E32DD5" w:rsidP="00E32DD5">
      <w:pPr>
        <w:pStyle w:val="Prrafodelista"/>
        <w:numPr>
          <w:ilvl w:val="0"/>
          <w:numId w:val="2"/>
        </w:numPr>
        <w:spacing w:after="0" w:line="276" w:lineRule="auto"/>
        <w:jc w:val="both"/>
      </w:pPr>
      <w:r>
        <w:t>Gestionar un instrumento donde permita recabar información para medir el grado de satisfacción de la población atendida y sus resultados.</w:t>
      </w:r>
    </w:p>
    <w:p w14:paraId="65B6D990" w14:textId="77777777" w:rsidR="005D6B8F" w:rsidRDefault="005D6B8F" w:rsidP="005D6B8F">
      <w:pPr>
        <w:spacing w:after="0" w:line="276" w:lineRule="auto"/>
        <w:jc w:val="both"/>
      </w:pPr>
    </w:p>
    <w:p w14:paraId="6832299D" w14:textId="77777777" w:rsidR="00E32DD5" w:rsidRDefault="00E32DD5">
      <w:r>
        <w:br w:type="page"/>
      </w: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26CB8175" w:rsidR="00BB6D7C" w:rsidRDefault="00BB6D7C" w:rsidP="006F4B1F">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Jorge Alfredo Gameros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084B884A" w:rsidR="007C4CD6" w:rsidRPr="00521401" w:rsidRDefault="00E32DD5" w:rsidP="00521401">
            <w:pPr>
              <w:spacing w:after="0" w:line="276" w:lineRule="auto"/>
              <w:ind w:left="179"/>
            </w:pPr>
            <w:r w:rsidRPr="00E32DD5">
              <w:rPr>
                <w:rFonts w:eastAsia="Times New Roman"/>
                <w:color w:val="000000"/>
                <w:lang w:eastAsia="es-MX"/>
              </w:rPr>
              <w:t>Regulación y Prevención de Riesgos Sanitarios para la Salud</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324707">
        <w:trPr>
          <w:trHeight w:val="340"/>
        </w:trPr>
        <w:tc>
          <w:tcPr>
            <w:tcW w:w="9910" w:type="dxa"/>
            <w:gridSpan w:val="4"/>
            <w:shd w:val="clear" w:color="auto" w:fill="auto"/>
            <w:vAlign w:val="center"/>
          </w:tcPr>
          <w:p w14:paraId="0850CE8D" w14:textId="78881D7E" w:rsidR="007C4CD6" w:rsidRPr="007C4CD6" w:rsidRDefault="00324707" w:rsidP="00521401">
            <w:pPr>
              <w:spacing w:after="0" w:line="276" w:lineRule="auto"/>
              <w:ind w:left="179"/>
            </w:pPr>
            <w:r>
              <w:t>G 122 Regulación y Prevención de Riesgos Sanitarios para la Salud (</w:t>
            </w:r>
            <w:r>
              <w:rPr>
                <w:i/>
              </w:rPr>
              <w:t>N</w:t>
            </w:r>
            <w:r w:rsidRPr="00324707">
              <w:rPr>
                <w:i/>
              </w:rPr>
              <w:t>o se cuenta con siglas</w:t>
            </w:r>
            <w:r>
              <w:t>)</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19071EE9" w:rsidR="007C4CD6" w:rsidRPr="007C4CD6" w:rsidRDefault="00E32DD5" w:rsidP="00521401">
            <w:pPr>
              <w:spacing w:after="0" w:line="276" w:lineRule="auto"/>
              <w:ind w:left="179"/>
            </w:pPr>
            <w:r w:rsidRPr="00E32DD5">
              <w:rPr>
                <w:rFonts w:eastAsia="Times New Roman"/>
                <w:bCs/>
                <w:color w:val="000000"/>
                <w:lang w:eastAsia="es-MX"/>
              </w:rPr>
              <w:t>Comisión Estatal para la Protección Contra Riesgos Sanitarios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324707">
        <w:trPr>
          <w:trHeight w:val="340"/>
        </w:trPr>
        <w:tc>
          <w:tcPr>
            <w:tcW w:w="2405" w:type="dxa"/>
            <w:shd w:val="clear" w:color="auto" w:fill="auto"/>
            <w:vAlign w:val="center"/>
          </w:tcPr>
          <w:p w14:paraId="43D369B0" w14:textId="7B0D7BC7" w:rsidR="005A28B9" w:rsidRPr="00A16BE7" w:rsidRDefault="00324707" w:rsidP="00090637">
            <w:pPr>
              <w:spacing w:after="0" w:line="276" w:lineRule="auto"/>
              <w:jc w:val="center"/>
            </w:pPr>
            <w:r>
              <w:t>X</w:t>
            </w:r>
          </w:p>
        </w:tc>
        <w:tc>
          <w:tcPr>
            <w:tcW w:w="2410" w:type="dxa"/>
            <w:shd w:val="clear" w:color="auto" w:fill="auto"/>
            <w:vAlign w:val="center"/>
          </w:tcPr>
          <w:p w14:paraId="208A5616" w14:textId="5B2FDFF1"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324707">
        <w:trPr>
          <w:trHeight w:val="340"/>
        </w:trPr>
        <w:tc>
          <w:tcPr>
            <w:tcW w:w="3256" w:type="dxa"/>
            <w:shd w:val="clear" w:color="auto" w:fill="auto"/>
            <w:vAlign w:val="center"/>
          </w:tcPr>
          <w:p w14:paraId="06EEC80E" w14:textId="58C3B900" w:rsidR="00090637" w:rsidRPr="00D913D9" w:rsidRDefault="00090637" w:rsidP="00287214">
            <w:pPr>
              <w:spacing w:after="0" w:line="276" w:lineRule="auto"/>
              <w:jc w:val="center"/>
              <w:rPr>
                <w:bCs/>
              </w:rPr>
            </w:pPr>
          </w:p>
        </w:tc>
        <w:tc>
          <w:tcPr>
            <w:tcW w:w="3402" w:type="dxa"/>
            <w:shd w:val="clear" w:color="auto" w:fill="auto"/>
            <w:vAlign w:val="center"/>
          </w:tcPr>
          <w:p w14:paraId="117D875F" w14:textId="17403767" w:rsidR="00090637" w:rsidRPr="00090637" w:rsidRDefault="005D6B8F"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324707">
        <w:trPr>
          <w:trHeight w:val="340"/>
        </w:trPr>
        <w:tc>
          <w:tcPr>
            <w:tcW w:w="9910" w:type="dxa"/>
            <w:gridSpan w:val="3"/>
            <w:shd w:val="clear" w:color="auto" w:fill="auto"/>
          </w:tcPr>
          <w:p w14:paraId="7091B8EA" w14:textId="0DB1BE2A" w:rsidR="005065B9" w:rsidRPr="00521401" w:rsidRDefault="00E32DD5" w:rsidP="005065B9">
            <w:pPr>
              <w:spacing w:after="0" w:line="276" w:lineRule="auto"/>
              <w:ind w:left="179"/>
            </w:pPr>
            <w:r w:rsidRPr="00E32DD5">
              <w:t>Ing. Randy G. Ross Álvarez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324707">
        <w:trPr>
          <w:trHeight w:val="340"/>
        </w:trPr>
        <w:tc>
          <w:tcPr>
            <w:tcW w:w="9910" w:type="dxa"/>
            <w:gridSpan w:val="3"/>
            <w:shd w:val="clear" w:color="auto" w:fill="auto"/>
          </w:tcPr>
          <w:p w14:paraId="54E4AA94" w14:textId="62C0283E" w:rsidR="00A4624B" w:rsidRPr="007301C5" w:rsidRDefault="00962328" w:rsidP="00A4624B">
            <w:pPr>
              <w:spacing w:after="0" w:line="276" w:lineRule="auto"/>
              <w:ind w:left="179"/>
            </w:pPr>
            <w:hyperlink r:id="rId14" w:history="1">
              <w:r w:rsidR="007C3BE3" w:rsidRPr="003B5BAB">
                <w:rPr>
                  <w:rStyle w:val="Hipervnculo"/>
                </w:rPr>
                <w:t>randyross@coepriss.sinaloa.gob.mx</w:t>
              </w:r>
            </w:hyperlink>
            <w:r w:rsidR="007C3BE3">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324707">
        <w:trPr>
          <w:trHeight w:val="340"/>
        </w:trPr>
        <w:tc>
          <w:tcPr>
            <w:tcW w:w="9910" w:type="dxa"/>
            <w:gridSpan w:val="3"/>
            <w:shd w:val="clear" w:color="auto" w:fill="auto"/>
          </w:tcPr>
          <w:p w14:paraId="138DA773" w14:textId="0866F0A6" w:rsidR="005065B9" w:rsidRPr="007301C5" w:rsidRDefault="00E32DD5" w:rsidP="00E32DD5">
            <w:pPr>
              <w:spacing w:after="0" w:line="276" w:lineRule="auto"/>
              <w:ind w:left="179"/>
            </w:pPr>
            <w:r>
              <w:t>Comisionado Estatal para la Protección contra Riesgos Sanitarios de Sinaloa (COEPRISS)</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324707">
        <w:trPr>
          <w:trHeight w:val="340"/>
        </w:trPr>
        <w:tc>
          <w:tcPr>
            <w:tcW w:w="9910" w:type="dxa"/>
            <w:gridSpan w:val="3"/>
            <w:shd w:val="clear" w:color="auto" w:fill="auto"/>
          </w:tcPr>
          <w:p w14:paraId="6F19C066" w14:textId="1029E3EC" w:rsidR="005065B9" w:rsidRPr="007301C5" w:rsidRDefault="005065B9" w:rsidP="00862B6C">
            <w:pPr>
              <w:spacing w:after="0" w:line="276" w:lineRule="auto"/>
              <w:ind w:left="179"/>
            </w:pPr>
            <w:r w:rsidRPr="0058649A">
              <w:t xml:space="preserve">(667) </w:t>
            </w:r>
            <w:r w:rsidR="00E32DD5">
              <w:t xml:space="preserve">758 7000 Ext. </w:t>
            </w:r>
            <w:r w:rsidR="009F7E18">
              <w:t>40276</w:t>
            </w:r>
          </w:p>
        </w:tc>
      </w:tr>
    </w:tbl>
    <w:p w14:paraId="18E777A8" w14:textId="7D9DD4B2" w:rsidR="005D6B8F" w:rsidRDefault="005D6B8F" w:rsidP="005D6B8F">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6E2F8100"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62328">
          <w:rPr>
            <w:b/>
            <w:bCs/>
            <w:noProof/>
            <w:sz w:val="18"/>
            <w:szCs w:val="18"/>
          </w:rPr>
          <w:t>7</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346A8C5B"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62328" w:rsidRPr="00962328">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8pt;height:596.45pt" o:bullet="t">
        <v:imagedata r:id="rId1" o:title="03"/>
      </v:shape>
    </w:pict>
  </w:numPicBullet>
  <w:numPicBullet w:numPicBulletId="1">
    <w:pict>
      <v:shape id="_x0000_i1027" type="#_x0000_t75" style="width:283.05pt;height:297.2pt" o:bullet="t">
        <v:imagedata r:id="rId2" o:title="04"/>
      </v:shape>
    </w:pict>
  </w:numPicBullet>
  <w:abstractNum w:abstractNumId="0" w15:restartNumberingAfterBreak="0">
    <w:nsid w:val="11D00CA9"/>
    <w:multiLevelType w:val="multilevel"/>
    <w:tmpl w:val="080A001F"/>
    <w:numStyleLink w:val="Estilo1"/>
  </w:abstractNum>
  <w:abstractNum w:abstractNumId="1"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52544A"/>
    <w:multiLevelType w:val="hybridMultilevel"/>
    <w:tmpl w:val="AB14B544"/>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F532EF"/>
    <w:multiLevelType w:val="hybridMultilevel"/>
    <w:tmpl w:val="55E0EAD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483C1F"/>
    <w:multiLevelType w:val="hybridMultilevel"/>
    <w:tmpl w:val="87065A86"/>
    <w:lvl w:ilvl="0" w:tplc="080A0005">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1"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5"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6"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B86A22"/>
    <w:multiLevelType w:val="hybridMultilevel"/>
    <w:tmpl w:val="C7C4255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15:restartNumberingAfterBreak="0">
    <w:nsid w:val="7AFF4C92"/>
    <w:multiLevelType w:val="hybridMultilevel"/>
    <w:tmpl w:val="7F4C0E84"/>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6"/>
  </w:num>
  <w:num w:numId="2">
    <w:abstractNumId w:val="14"/>
  </w:num>
  <w:num w:numId="3">
    <w:abstractNumId w:val="3"/>
  </w:num>
  <w:num w:numId="4">
    <w:abstractNumId w:val="12"/>
  </w:num>
  <w:num w:numId="5">
    <w:abstractNumId w:val="0"/>
  </w:num>
  <w:num w:numId="6">
    <w:abstractNumId w:val="20"/>
  </w:num>
  <w:num w:numId="7">
    <w:abstractNumId w:val="21"/>
  </w:num>
  <w:num w:numId="8">
    <w:abstractNumId w:val="23"/>
  </w:num>
  <w:num w:numId="9">
    <w:abstractNumId w:val="13"/>
  </w:num>
  <w:num w:numId="10">
    <w:abstractNumId w:val="4"/>
  </w:num>
  <w:num w:numId="11">
    <w:abstractNumId w:val="6"/>
  </w:num>
  <w:num w:numId="12">
    <w:abstractNumId w:val="19"/>
  </w:num>
  <w:num w:numId="13">
    <w:abstractNumId w:val="17"/>
  </w:num>
  <w:num w:numId="14">
    <w:abstractNumId w:val="15"/>
  </w:num>
  <w:num w:numId="15">
    <w:abstractNumId w:val="10"/>
  </w:num>
  <w:num w:numId="16">
    <w:abstractNumId w:val="1"/>
  </w:num>
  <w:num w:numId="17">
    <w:abstractNumId w:val="2"/>
  </w:num>
  <w:num w:numId="18">
    <w:abstractNumId w:val="11"/>
  </w:num>
  <w:num w:numId="19">
    <w:abstractNumId w:val="7"/>
  </w:num>
  <w:num w:numId="20">
    <w:abstractNumId w:val="18"/>
  </w:num>
  <w:num w:numId="21">
    <w:abstractNumId w:val="8"/>
  </w:num>
  <w:num w:numId="22">
    <w:abstractNumId w:val="22"/>
  </w:num>
  <w:num w:numId="23">
    <w:abstractNumId w:val="5"/>
  </w:num>
  <w:num w:numId="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E1A84"/>
    <w:rsid w:val="002E3980"/>
    <w:rsid w:val="002E4405"/>
    <w:rsid w:val="002E6DAC"/>
    <w:rsid w:val="002F378E"/>
    <w:rsid w:val="00316A9C"/>
    <w:rsid w:val="00316C41"/>
    <w:rsid w:val="00317E75"/>
    <w:rsid w:val="00323621"/>
    <w:rsid w:val="00324151"/>
    <w:rsid w:val="00324707"/>
    <w:rsid w:val="00325565"/>
    <w:rsid w:val="003270DD"/>
    <w:rsid w:val="00330134"/>
    <w:rsid w:val="00331966"/>
    <w:rsid w:val="00332B71"/>
    <w:rsid w:val="00332B81"/>
    <w:rsid w:val="00342BB1"/>
    <w:rsid w:val="0034573D"/>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6B8F"/>
    <w:rsid w:val="005E2E2D"/>
    <w:rsid w:val="005E44FA"/>
    <w:rsid w:val="005F33CC"/>
    <w:rsid w:val="005F575E"/>
    <w:rsid w:val="006005B6"/>
    <w:rsid w:val="00601986"/>
    <w:rsid w:val="006021CF"/>
    <w:rsid w:val="00602B50"/>
    <w:rsid w:val="00603771"/>
    <w:rsid w:val="00604609"/>
    <w:rsid w:val="006047A9"/>
    <w:rsid w:val="00607334"/>
    <w:rsid w:val="006123C0"/>
    <w:rsid w:val="006174B7"/>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0C50"/>
    <w:rsid w:val="007967D9"/>
    <w:rsid w:val="007A0C17"/>
    <w:rsid w:val="007A0D4E"/>
    <w:rsid w:val="007A73AA"/>
    <w:rsid w:val="007A782D"/>
    <w:rsid w:val="007B4768"/>
    <w:rsid w:val="007B6CB9"/>
    <w:rsid w:val="007C3BE3"/>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2B6C"/>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50021"/>
    <w:rsid w:val="0096110F"/>
    <w:rsid w:val="00962328"/>
    <w:rsid w:val="00975299"/>
    <w:rsid w:val="009768FB"/>
    <w:rsid w:val="0098143F"/>
    <w:rsid w:val="00983315"/>
    <w:rsid w:val="00996D4D"/>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7E18"/>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06F5"/>
    <w:rsid w:val="00B71DBF"/>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698D"/>
    <w:rsid w:val="00BF73C9"/>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2DD5"/>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ransparencia.sinaloa.gob.mx/p/datos-abiert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andyross@coepriss.sinalo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0C62-16A9-4798-9BF4-D798EE7B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7</TotalTime>
  <Pages>7</Pages>
  <Words>2214</Words>
  <Characters>12178</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7</cp:revision>
  <cp:lastPrinted>2022-06-17T19:35:00Z</cp:lastPrinted>
  <dcterms:created xsi:type="dcterms:W3CDTF">2022-11-16T19:14:00Z</dcterms:created>
  <dcterms:modified xsi:type="dcterms:W3CDTF">2022-11-22T21:02:00Z</dcterms:modified>
</cp:coreProperties>
</file>